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EF" w:rsidRDefault="00A66A08" w:rsidP="000576F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Kenya 2030 Water Resources Group</w:t>
      </w:r>
    </w:p>
    <w:p w:rsidR="00A66A08" w:rsidRDefault="00A66A08" w:rsidP="000576F7">
      <w:pPr>
        <w:spacing w:after="0"/>
        <w:jc w:val="center"/>
        <w:rPr>
          <w:b/>
        </w:rPr>
      </w:pPr>
    </w:p>
    <w:p w:rsidR="00A66A08" w:rsidRDefault="00A66A08" w:rsidP="000576F7">
      <w:pPr>
        <w:spacing w:after="0"/>
        <w:jc w:val="center"/>
        <w:rPr>
          <w:b/>
        </w:rPr>
      </w:pPr>
      <w:r>
        <w:rPr>
          <w:b/>
        </w:rPr>
        <w:t>High Level Roundtable and Inaugural Governing Board Meeting</w:t>
      </w:r>
    </w:p>
    <w:p w:rsidR="00A66A08" w:rsidRDefault="00A66A08" w:rsidP="000576F7">
      <w:pPr>
        <w:spacing w:after="0"/>
        <w:jc w:val="center"/>
        <w:rPr>
          <w:b/>
        </w:rPr>
      </w:pPr>
    </w:p>
    <w:p w:rsidR="00A66A08" w:rsidRDefault="00A66A08" w:rsidP="000576F7">
      <w:pPr>
        <w:spacing w:after="0"/>
        <w:jc w:val="center"/>
        <w:rPr>
          <w:b/>
        </w:rPr>
      </w:pPr>
      <w:r>
        <w:rPr>
          <w:b/>
        </w:rPr>
        <w:t>12 October 2015, 7.30 – 9.30am</w:t>
      </w:r>
    </w:p>
    <w:p w:rsidR="00A66A08" w:rsidRDefault="00A66A08" w:rsidP="000576F7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Kempinski</w:t>
      </w:r>
      <w:proofErr w:type="spellEnd"/>
      <w:r>
        <w:rPr>
          <w:b/>
        </w:rPr>
        <w:t xml:space="preserve"> Hotel, Nairobi</w:t>
      </w:r>
    </w:p>
    <w:p w:rsidR="000576F7" w:rsidRDefault="000576F7" w:rsidP="000576F7">
      <w:pPr>
        <w:spacing w:after="0"/>
        <w:jc w:val="both"/>
        <w:rPr>
          <w:b/>
        </w:rPr>
      </w:pPr>
    </w:p>
    <w:p w:rsidR="003A180D" w:rsidRPr="00A66A08" w:rsidRDefault="000576F7" w:rsidP="000576F7">
      <w:pPr>
        <w:spacing w:after="0"/>
        <w:jc w:val="both"/>
        <w:rPr>
          <w:i/>
        </w:rPr>
      </w:pPr>
      <w:r w:rsidRPr="00A66A08">
        <w:rPr>
          <w:i/>
        </w:rPr>
        <w:t>The m</w:t>
      </w:r>
      <w:r w:rsidR="003A180D" w:rsidRPr="00A66A08">
        <w:rPr>
          <w:i/>
        </w:rPr>
        <w:t xml:space="preserve">eeting </w:t>
      </w:r>
      <w:r w:rsidR="00A66A08">
        <w:rPr>
          <w:i/>
        </w:rPr>
        <w:t xml:space="preserve">was preceded </w:t>
      </w:r>
      <w:r w:rsidR="003A180D" w:rsidRPr="00A66A08">
        <w:rPr>
          <w:i/>
        </w:rPr>
        <w:t xml:space="preserve">with a video message from Cabinet Secretary </w:t>
      </w:r>
      <w:proofErr w:type="spellStart"/>
      <w:r w:rsidR="003A180D" w:rsidRPr="00A66A08">
        <w:rPr>
          <w:i/>
        </w:rPr>
        <w:t>Wamalwa</w:t>
      </w:r>
      <w:proofErr w:type="spellEnd"/>
      <w:r w:rsidR="00205D50">
        <w:rPr>
          <w:i/>
        </w:rPr>
        <w:t xml:space="preserve"> who was absent due to an urgent overseas trip.</w:t>
      </w:r>
      <w:r w:rsidR="003A180D" w:rsidRPr="00A66A08">
        <w:rPr>
          <w:i/>
        </w:rPr>
        <w:t xml:space="preserve"> </w:t>
      </w:r>
      <w:r w:rsidR="00205D50">
        <w:rPr>
          <w:i/>
        </w:rPr>
        <w:t xml:space="preserve">He </w:t>
      </w:r>
      <w:r w:rsidR="003A180D" w:rsidRPr="00A66A08">
        <w:rPr>
          <w:i/>
        </w:rPr>
        <w:t>express</w:t>
      </w:r>
      <w:r w:rsidR="00205D50">
        <w:rPr>
          <w:i/>
        </w:rPr>
        <w:t>ed</w:t>
      </w:r>
      <w:r w:rsidR="003A180D" w:rsidRPr="00A66A08">
        <w:rPr>
          <w:i/>
        </w:rPr>
        <w:t xml:space="preserve"> his strong support for the Kenya 2030 Water Resources Group (WRG) and his commitment to personally take on the co-chairmanship </w:t>
      </w:r>
      <w:r w:rsidR="006F471D" w:rsidRPr="00A66A08">
        <w:rPr>
          <w:i/>
        </w:rPr>
        <w:t xml:space="preserve">of the partnership </w:t>
      </w:r>
      <w:r w:rsidR="003A180D" w:rsidRPr="00A66A08">
        <w:rPr>
          <w:i/>
        </w:rPr>
        <w:t>on behalf of the public sector.</w:t>
      </w:r>
    </w:p>
    <w:p w:rsidR="000576F7" w:rsidRDefault="000576F7" w:rsidP="000576F7">
      <w:pPr>
        <w:spacing w:after="0"/>
        <w:jc w:val="both"/>
      </w:pPr>
    </w:p>
    <w:p w:rsidR="00A66A08" w:rsidRPr="00A66A08" w:rsidRDefault="00A66A08" w:rsidP="000576F7">
      <w:pPr>
        <w:spacing w:after="0"/>
        <w:jc w:val="both"/>
        <w:rPr>
          <w:b/>
        </w:rPr>
      </w:pPr>
      <w:r w:rsidRPr="00A66A08">
        <w:rPr>
          <w:b/>
        </w:rPr>
        <w:t>Introductions and Context</w:t>
      </w:r>
    </w:p>
    <w:p w:rsidR="003A180D" w:rsidRDefault="003A180D" w:rsidP="000576F7">
      <w:pPr>
        <w:spacing w:after="0"/>
        <w:jc w:val="both"/>
      </w:pPr>
      <w:r>
        <w:t>Th</w:t>
      </w:r>
      <w:r w:rsidR="00A66A08">
        <w:t>e meeting was opened with</w:t>
      </w:r>
      <w:r w:rsidR="000576F7">
        <w:t xml:space="preserve"> introductions and welcome from </w:t>
      </w:r>
      <w:r w:rsidR="006F471D">
        <w:t xml:space="preserve">the chair </w:t>
      </w:r>
      <w:r>
        <w:t>Mr. Vimal Shah</w:t>
      </w:r>
      <w:r w:rsidR="006F471D">
        <w:t>.</w:t>
      </w:r>
      <w:r>
        <w:t xml:space="preserve"> </w:t>
      </w:r>
      <w:r w:rsidR="00A66A08">
        <w:t xml:space="preserve"> The chair</w:t>
      </w:r>
      <w:r w:rsidR="006F471D">
        <w:t xml:space="preserve"> </w:t>
      </w:r>
      <w:r>
        <w:t xml:space="preserve">stressed the </w:t>
      </w:r>
      <w:r w:rsidR="00A66A08">
        <w:t xml:space="preserve">critical </w:t>
      </w:r>
      <w:r>
        <w:t xml:space="preserve">importance of </w:t>
      </w:r>
      <w:r w:rsidR="006F471D">
        <w:t xml:space="preserve">water for all stakeholders – </w:t>
      </w:r>
      <w:r>
        <w:t xml:space="preserve">industry, agriculture, government, </w:t>
      </w:r>
      <w:proofErr w:type="gramStart"/>
      <w:r>
        <w:t>civil</w:t>
      </w:r>
      <w:proofErr w:type="gramEnd"/>
      <w:r>
        <w:t xml:space="preserve"> society</w:t>
      </w:r>
      <w:r w:rsidR="006F471D">
        <w:t xml:space="preserve"> – </w:t>
      </w:r>
      <w:r>
        <w:t>and the need for collaboration to find solutions to Kenya’s water challenges.</w:t>
      </w:r>
    </w:p>
    <w:p w:rsidR="00A66A08" w:rsidRPr="00A66A08" w:rsidRDefault="00A66A08" w:rsidP="000576F7">
      <w:pPr>
        <w:spacing w:after="0"/>
        <w:jc w:val="both"/>
      </w:pPr>
    </w:p>
    <w:p w:rsidR="003A180D" w:rsidRDefault="00A66A08" w:rsidP="000576F7">
      <w:pPr>
        <w:spacing w:after="0"/>
        <w:jc w:val="both"/>
      </w:pPr>
      <w:r>
        <w:t xml:space="preserve">The background and context for the Kenya 2030 WRG partnership was then provided by Mr. Anders Berntell, who also summarized </w:t>
      </w:r>
      <w:r w:rsidR="006F471D">
        <w:t xml:space="preserve">recent </w:t>
      </w:r>
      <w:r w:rsidR="000576F7">
        <w:t>analysis highlighting the urgency of the water challenge</w:t>
      </w:r>
      <w:r w:rsidR="006F471D">
        <w:t xml:space="preserve"> in Kenya and the risk of a </w:t>
      </w:r>
      <w:r w:rsidR="000576F7">
        <w:t>30% gap between water supply and demand by 2030.</w:t>
      </w:r>
    </w:p>
    <w:p w:rsidR="000576F7" w:rsidRDefault="000576F7" w:rsidP="000576F7">
      <w:pPr>
        <w:spacing w:after="0"/>
        <w:jc w:val="both"/>
      </w:pPr>
    </w:p>
    <w:p w:rsidR="000576F7" w:rsidRDefault="000576F7" w:rsidP="000576F7">
      <w:pPr>
        <w:spacing w:after="0"/>
        <w:jc w:val="both"/>
        <w:rPr>
          <w:b/>
        </w:rPr>
      </w:pPr>
      <w:r w:rsidRPr="000576F7">
        <w:rPr>
          <w:b/>
        </w:rPr>
        <w:t>Partnership Priorities</w:t>
      </w:r>
    </w:p>
    <w:p w:rsidR="000576F7" w:rsidRDefault="00A66A08" w:rsidP="000576F7">
      <w:pPr>
        <w:spacing w:after="0"/>
        <w:jc w:val="both"/>
      </w:pPr>
      <w:r>
        <w:t xml:space="preserve">This was followed by a presentation and discussion of the </w:t>
      </w:r>
      <w:r w:rsidR="005125DA" w:rsidRPr="005125DA">
        <w:t xml:space="preserve">four </w:t>
      </w:r>
      <w:r w:rsidR="000576F7" w:rsidRPr="005125DA">
        <w:t xml:space="preserve">proposed priorities for the partnership, </w:t>
      </w:r>
      <w:r>
        <w:t xml:space="preserve">which had resulted </w:t>
      </w:r>
      <w:r w:rsidR="000576F7" w:rsidRPr="005125DA">
        <w:t>from consultations with over 40 organizations</w:t>
      </w:r>
      <w:r w:rsidR="005125DA" w:rsidRPr="005125DA">
        <w:t>:</w:t>
      </w:r>
    </w:p>
    <w:p w:rsidR="005125DA" w:rsidRDefault="005125DA" w:rsidP="000576F7">
      <w:pPr>
        <w:spacing w:after="0"/>
        <w:jc w:val="both"/>
      </w:pPr>
    </w:p>
    <w:p w:rsidR="005125DA" w:rsidRPr="006F471D" w:rsidRDefault="005125DA" w:rsidP="000576F7">
      <w:pPr>
        <w:spacing w:after="0"/>
        <w:jc w:val="both"/>
        <w:rPr>
          <w:b/>
          <w:i/>
        </w:rPr>
      </w:pPr>
      <w:r w:rsidRPr="006F471D">
        <w:rPr>
          <w:b/>
          <w:i/>
        </w:rPr>
        <w:t>Agricultural water management</w:t>
      </w:r>
    </w:p>
    <w:p w:rsidR="0024330C" w:rsidRPr="005125DA" w:rsidRDefault="000E38B6" w:rsidP="005125DA">
      <w:pPr>
        <w:numPr>
          <w:ilvl w:val="0"/>
          <w:numId w:val="1"/>
        </w:numPr>
        <w:spacing w:after="0"/>
        <w:jc w:val="both"/>
      </w:pPr>
      <w:r w:rsidRPr="005125DA">
        <w:rPr>
          <w:lang w:val="en-GB"/>
        </w:rPr>
        <w:t>Collective action to manage water risks in critical agricultural catchments</w:t>
      </w:r>
    </w:p>
    <w:p w:rsidR="0024330C" w:rsidRPr="005125DA" w:rsidRDefault="000E38B6" w:rsidP="005125DA">
      <w:pPr>
        <w:numPr>
          <w:ilvl w:val="0"/>
          <w:numId w:val="1"/>
        </w:numPr>
        <w:spacing w:after="0"/>
        <w:jc w:val="both"/>
      </w:pPr>
      <w:r w:rsidRPr="005125DA">
        <w:rPr>
          <w:lang w:val="en-GB"/>
        </w:rPr>
        <w:t>Partnerships to support sustainable expansion of water-efficient irrigation</w:t>
      </w:r>
    </w:p>
    <w:p w:rsidR="005125DA" w:rsidRDefault="005125DA" w:rsidP="000576F7">
      <w:pPr>
        <w:spacing w:after="0"/>
        <w:jc w:val="both"/>
      </w:pPr>
    </w:p>
    <w:p w:rsidR="005125DA" w:rsidRPr="006F471D" w:rsidRDefault="006F471D" w:rsidP="000576F7">
      <w:pPr>
        <w:spacing w:after="0"/>
        <w:jc w:val="both"/>
        <w:rPr>
          <w:b/>
          <w:i/>
        </w:rPr>
      </w:pPr>
      <w:r w:rsidRPr="006F471D">
        <w:rPr>
          <w:b/>
          <w:i/>
        </w:rPr>
        <w:t>Industrial water management</w:t>
      </w:r>
    </w:p>
    <w:p w:rsidR="0024330C" w:rsidRPr="005125DA" w:rsidRDefault="000E38B6" w:rsidP="005125DA">
      <w:pPr>
        <w:numPr>
          <w:ilvl w:val="0"/>
          <w:numId w:val="2"/>
        </w:numPr>
        <w:spacing w:after="0"/>
        <w:jc w:val="both"/>
      </w:pPr>
      <w:r w:rsidRPr="005125DA">
        <w:rPr>
          <w:lang w:val="en-GB"/>
        </w:rPr>
        <w:t>Corporate partnerships to increase water use-efficiency, enhance waste-water treatment and supply treated water to other users</w:t>
      </w:r>
    </w:p>
    <w:p w:rsidR="005125DA" w:rsidRDefault="005125DA" w:rsidP="000576F7">
      <w:pPr>
        <w:spacing w:after="0"/>
        <w:jc w:val="both"/>
      </w:pPr>
    </w:p>
    <w:p w:rsidR="005125DA" w:rsidRPr="006F471D" w:rsidRDefault="006F471D" w:rsidP="000576F7">
      <w:pPr>
        <w:spacing w:after="0"/>
        <w:jc w:val="both"/>
        <w:rPr>
          <w:b/>
          <w:i/>
        </w:rPr>
      </w:pPr>
      <w:r w:rsidRPr="006F471D">
        <w:rPr>
          <w:b/>
          <w:i/>
        </w:rPr>
        <w:t>Urban water management</w:t>
      </w:r>
    </w:p>
    <w:p w:rsidR="005125DA" w:rsidRPr="005125DA" w:rsidRDefault="005125DA" w:rsidP="005125DA">
      <w:pPr>
        <w:pStyle w:val="ListParagraph"/>
        <w:numPr>
          <w:ilvl w:val="0"/>
          <w:numId w:val="2"/>
        </w:numPr>
        <w:spacing w:after="0"/>
        <w:jc w:val="both"/>
      </w:pPr>
      <w:r w:rsidRPr="005125DA">
        <w:rPr>
          <w:lang w:val="en-GB"/>
        </w:rPr>
        <w:t>Technical interventions to reduce urban water losses &amp; support expanded water access &amp; treatment</w:t>
      </w:r>
    </w:p>
    <w:p w:rsidR="005125DA" w:rsidRDefault="005125DA" w:rsidP="000576F7">
      <w:pPr>
        <w:spacing w:after="0"/>
        <w:jc w:val="both"/>
        <w:rPr>
          <w:b/>
        </w:rPr>
      </w:pPr>
    </w:p>
    <w:p w:rsidR="005125DA" w:rsidRDefault="006F471D" w:rsidP="000576F7">
      <w:pPr>
        <w:spacing w:after="0"/>
        <w:jc w:val="both"/>
      </w:pPr>
      <w:r>
        <w:t xml:space="preserve">These partnership priorities were widely supported and endorsed </w:t>
      </w:r>
      <w:r w:rsidR="00A66A08">
        <w:t>by participants</w:t>
      </w:r>
      <w:r>
        <w:t xml:space="preserve">, with the following </w:t>
      </w:r>
      <w:r w:rsidR="00D01C8D">
        <w:t xml:space="preserve">specific </w:t>
      </w:r>
      <w:r>
        <w:t>recommendations:</w:t>
      </w:r>
    </w:p>
    <w:p w:rsidR="006F471D" w:rsidRDefault="006F471D" w:rsidP="000576F7">
      <w:pPr>
        <w:spacing w:after="0"/>
        <w:jc w:val="both"/>
      </w:pPr>
    </w:p>
    <w:p w:rsidR="00D01C8D" w:rsidRDefault="00A66A08" w:rsidP="00D01C8D">
      <w:pPr>
        <w:pStyle w:val="ListParagraph"/>
        <w:numPr>
          <w:ilvl w:val="0"/>
          <w:numId w:val="3"/>
        </w:numPr>
        <w:spacing w:after="0"/>
        <w:jc w:val="both"/>
      </w:pPr>
      <w:r>
        <w:t>T</w:t>
      </w:r>
      <w:r w:rsidR="00D01C8D">
        <w:t xml:space="preserve">he various critical issues around water governance – including the need for clarity on devolution and institutional responsibilities, and the need for stronger enforcement of existing regulations – </w:t>
      </w:r>
      <w:r w:rsidR="00205D50">
        <w:t>warrant f</w:t>
      </w:r>
      <w:r>
        <w:t>urther prioritiz</w:t>
      </w:r>
      <w:r w:rsidR="00205D50">
        <w:t>ation,</w:t>
      </w:r>
      <w:r>
        <w:t xml:space="preserve"> </w:t>
      </w:r>
      <w:r w:rsidR="00D01C8D">
        <w:t xml:space="preserve">potentially as a separate </w:t>
      </w:r>
      <w:r>
        <w:t>thematic</w:t>
      </w:r>
      <w:r w:rsidR="00D01C8D">
        <w:t xml:space="preserve"> area </w:t>
      </w:r>
    </w:p>
    <w:p w:rsidR="00D01C8D" w:rsidRDefault="00D01C8D" w:rsidP="00D01C8D">
      <w:pPr>
        <w:pStyle w:val="ListParagraph"/>
        <w:numPr>
          <w:ilvl w:val="0"/>
          <w:numId w:val="3"/>
        </w:numPr>
        <w:spacing w:after="0"/>
        <w:jc w:val="both"/>
      </w:pPr>
      <w:r>
        <w:lastRenderedPageBreak/>
        <w:t>Increase emphasis on the importance of solutions related to water storage and rainwater harvesting</w:t>
      </w:r>
      <w:r w:rsidR="000E38B6">
        <w:t>, in particular for agricultural water use</w:t>
      </w:r>
    </w:p>
    <w:p w:rsidR="006F471D" w:rsidRDefault="00D01C8D" w:rsidP="006F471D">
      <w:pPr>
        <w:pStyle w:val="ListParagraph"/>
        <w:numPr>
          <w:ilvl w:val="0"/>
          <w:numId w:val="3"/>
        </w:numPr>
        <w:spacing w:after="0"/>
        <w:jc w:val="both"/>
      </w:pPr>
      <w:r>
        <w:t>Add r</w:t>
      </w:r>
      <w:r w:rsidR="006F471D">
        <w:t>esearch and development as a</w:t>
      </w:r>
      <w:r>
        <w:t>n additional</w:t>
      </w:r>
      <w:r w:rsidR="006F471D">
        <w:t xml:space="preserve"> cr</w:t>
      </w:r>
      <w:r>
        <w:t>oss-cutting theme</w:t>
      </w:r>
    </w:p>
    <w:p w:rsidR="006F471D" w:rsidRDefault="00D01C8D" w:rsidP="006F471D">
      <w:pPr>
        <w:pStyle w:val="ListParagraph"/>
        <w:numPr>
          <w:ilvl w:val="0"/>
          <w:numId w:val="3"/>
        </w:numPr>
        <w:spacing w:after="0"/>
        <w:jc w:val="both"/>
      </w:pPr>
      <w:r>
        <w:t>Further highlight t</w:t>
      </w:r>
      <w:r w:rsidR="006F471D">
        <w:t>he importance of regulatory incentives for reuse under the industrial water reuse topic</w:t>
      </w:r>
    </w:p>
    <w:p w:rsidR="006F471D" w:rsidRPr="005125DA" w:rsidRDefault="006F471D" w:rsidP="000576F7">
      <w:pPr>
        <w:spacing w:after="0"/>
        <w:jc w:val="both"/>
      </w:pPr>
    </w:p>
    <w:p w:rsidR="00C128C3" w:rsidRDefault="00C128C3" w:rsidP="00C128C3">
      <w:pPr>
        <w:spacing w:after="0"/>
        <w:jc w:val="both"/>
        <w:rPr>
          <w:b/>
        </w:rPr>
      </w:pPr>
      <w:r w:rsidRPr="000576F7">
        <w:rPr>
          <w:b/>
        </w:rPr>
        <w:t xml:space="preserve">Partnership </w:t>
      </w:r>
      <w:r>
        <w:rPr>
          <w:b/>
        </w:rPr>
        <w:t>Structure</w:t>
      </w:r>
    </w:p>
    <w:p w:rsidR="000E38B6" w:rsidRPr="00A66A08" w:rsidRDefault="00A66A08" w:rsidP="00C128C3">
      <w:pPr>
        <w:spacing w:after="0"/>
        <w:jc w:val="both"/>
      </w:pPr>
      <w:r>
        <w:t>The meeting continued</w:t>
      </w:r>
      <w:r w:rsidRPr="00A66A08">
        <w:t xml:space="preserve"> with</w:t>
      </w:r>
      <w:r>
        <w:t xml:space="preserve"> a review and endorsement</w:t>
      </w:r>
      <w:r w:rsidRPr="00A66A08">
        <w:t xml:space="preserve"> of the proposed partnersh</w:t>
      </w:r>
      <w:r w:rsidR="006D2E69">
        <w:t xml:space="preserve">ip structure, </w:t>
      </w:r>
      <w:r>
        <w:t>governing board membership</w:t>
      </w:r>
      <w:r w:rsidR="006D2E69">
        <w:t xml:space="preserve">, and </w:t>
      </w:r>
      <w:r w:rsidR="00205D50">
        <w:t xml:space="preserve">the </w:t>
      </w:r>
      <w:r w:rsidR="006D2E69">
        <w:t>proposal to form technical working groups based on the thematic priorities above. For the Governing Board, it was</w:t>
      </w:r>
      <w:r>
        <w:t xml:space="preserve"> recommendation to consider adding the Chair of the Parliamentary Committee for Water and a representative from the financial services industry (e.g. Head of the Kenya Bankers Association).</w:t>
      </w:r>
      <w:r w:rsidR="00205D50">
        <w:t xml:space="preserve"> The structure and proposed working groups were fully endorsed, with the potential for an additional governance group as per discussion above.</w:t>
      </w:r>
    </w:p>
    <w:p w:rsidR="00A66A08" w:rsidRDefault="00A66A08" w:rsidP="00C128C3">
      <w:pPr>
        <w:spacing w:after="0"/>
        <w:jc w:val="both"/>
      </w:pPr>
    </w:p>
    <w:p w:rsidR="006D2E69" w:rsidRDefault="006103EA" w:rsidP="00C128C3">
      <w:pPr>
        <w:spacing w:after="0"/>
        <w:jc w:val="both"/>
      </w:pPr>
      <w:r>
        <w:t>This was followed by a request from t</w:t>
      </w:r>
      <w:r w:rsidR="00A66A08">
        <w:t xml:space="preserve">he chair </w:t>
      </w:r>
      <w:r w:rsidR="00205D50">
        <w:t>for participants to fill out a</w:t>
      </w:r>
      <w:r w:rsidR="00A66A08">
        <w:t xml:space="preserve"> </w:t>
      </w:r>
      <w:r w:rsidR="00205D50">
        <w:t>“</w:t>
      </w:r>
      <w:r w:rsidR="00A66A08">
        <w:t>Partners Commitment</w:t>
      </w:r>
      <w:r w:rsidR="00205D50">
        <w:t>”</w:t>
      </w:r>
      <w:r w:rsidR="00A66A08">
        <w:t xml:space="preserve"> page</w:t>
      </w:r>
      <w:r>
        <w:t xml:space="preserve"> provided</w:t>
      </w:r>
      <w:r w:rsidR="006D2E69">
        <w:t>.  This would co</w:t>
      </w:r>
      <w:r w:rsidR="00A66A08">
        <w:t xml:space="preserve">nfirm each member’s commitment to join as a Governing Board member, </w:t>
      </w:r>
      <w:r w:rsidR="006D2E69">
        <w:t>and provide</w:t>
      </w:r>
      <w:r w:rsidR="00A66A08">
        <w:t xml:space="preserve"> </w:t>
      </w:r>
      <w:r w:rsidR="006D2E69">
        <w:t>contact details for relevant staff to drive forward the work within the technical working groups.  The form also provided an opportunity for self-nominations for the roles of (co)chairs of the various working groups.</w:t>
      </w:r>
    </w:p>
    <w:p w:rsidR="006103EA" w:rsidRDefault="006103EA" w:rsidP="006103EA">
      <w:pPr>
        <w:spacing w:after="0"/>
        <w:jc w:val="both"/>
        <w:rPr>
          <w:b/>
        </w:rPr>
      </w:pPr>
    </w:p>
    <w:p w:rsidR="006103EA" w:rsidRPr="00A66A08" w:rsidRDefault="006103EA" w:rsidP="006103EA">
      <w:pPr>
        <w:spacing w:after="0"/>
        <w:jc w:val="both"/>
        <w:rPr>
          <w:b/>
        </w:rPr>
      </w:pPr>
      <w:r w:rsidRPr="00A66A08">
        <w:rPr>
          <w:b/>
        </w:rPr>
        <w:t>Conclusion and Next Steps</w:t>
      </w:r>
    </w:p>
    <w:p w:rsidR="000E38B6" w:rsidRDefault="006103EA" w:rsidP="00C128C3">
      <w:pPr>
        <w:spacing w:after="0"/>
        <w:jc w:val="both"/>
      </w:pPr>
      <w:r>
        <w:t>The meeting concluded with a summary of key next steps</w:t>
      </w:r>
      <w:r w:rsidR="00C37181" w:rsidRPr="00C37181">
        <w:t>:</w:t>
      </w:r>
    </w:p>
    <w:p w:rsidR="006103EA" w:rsidRDefault="006103EA" w:rsidP="00C128C3">
      <w:pPr>
        <w:spacing w:after="0"/>
        <w:jc w:val="both"/>
      </w:pPr>
    </w:p>
    <w:p w:rsidR="00AE2293" w:rsidRDefault="006103EA" w:rsidP="00205D50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Formation of </w:t>
      </w:r>
      <w:r w:rsidR="00AE2293">
        <w:t xml:space="preserve">first </w:t>
      </w:r>
      <w:r>
        <w:t>technical working groups and appointment of working group (co)chairs</w:t>
      </w:r>
      <w:r w:rsidR="00AE2293">
        <w:t xml:space="preserve"> in the coming 1-2 months</w:t>
      </w:r>
      <w:r>
        <w:t xml:space="preserve"> </w:t>
      </w:r>
    </w:p>
    <w:p w:rsidR="006103EA" w:rsidRPr="00C37181" w:rsidRDefault="006103EA" w:rsidP="00205D50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Reconvene the Governing Board </w:t>
      </w:r>
      <w:r w:rsidR="00205D50">
        <w:t>on a six monthly basis</w:t>
      </w:r>
      <w:r>
        <w:t>, with interim updates and decisions to be made electronically (and establishment of a mailing list for this purpose</w:t>
      </w:r>
      <w:r w:rsidR="00AE2293">
        <w:t>)</w:t>
      </w:r>
    </w:p>
    <w:p w:rsidR="006103EA" w:rsidRDefault="006103EA" w:rsidP="00205D50">
      <w:pPr>
        <w:pStyle w:val="ListParagraph"/>
        <w:numPr>
          <w:ilvl w:val="0"/>
          <w:numId w:val="3"/>
        </w:numPr>
        <w:spacing w:after="0"/>
        <w:jc w:val="both"/>
      </w:pPr>
      <w:r>
        <w:t>Report back to the Cabinet Secretary on the outcomes of the meeting</w:t>
      </w:r>
      <w:r w:rsidR="00205D50">
        <w:t>,</w:t>
      </w:r>
      <w:r>
        <w:t xml:space="preserve"> and </w:t>
      </w:r>
      <w:r w:rsidR="00205D50">
        <w:t>extend</w:t>
      </w:r>
      <w:r w:rsidR="00AE2293">
        <w:t xml:space="preserve"> communication with </w:t>
      </w:r>
      <w:r>
        <w:t xml:space="preserve">other government ministries </w:t>
      </w:r>
      <w:r w:rsidR="00205D50">
        <w:t>as a means to promote</w:t>
      </w:r>
      <w:r w:rsidR="00AE2293">
        <w:t xml:space="preserve"> </w:t>
      </w:r>
      <w:r w:rsidR="00205D50">
        <w:t xml:space="preserve">stronger </w:t>
      </w:r>
      <w:r w:rsidR="00AE2293">
        <w:t>cross-sector collaboration</w:t>
      </w:r>
      <w:r w:rsidR="00205D50">
        <w:t xml:space="preserve"> via</w:t>
      </w:r>
      <w:r w:rsidR="00AE2293">
        <w:t xml:space="preserve">  the partnership</w:t>
      </w:r>
      <w:r>
        <w:t xml:space="preserve"> </w:t>
      </w:r>
    </w:p>
    <w:p w:rsidR="00C37181" w:rsidRPr="00C37181" w:rsidRDefault="00C37181" w:rsidP="00C128C3">
      <w:pPr>
        <w:spacing w:after="0"/>
        <w:jc w:val="both"/>
      </w:pPr>
    </w:p>
    <w:p w:rsidR="000E38B6" w:rsidRDefault="00AE2293" w:rsidP="00C128C3">
      <w:pPr>
        <w:spacing w:after="0"/>
        <w:jc w:val="both"/>
      </w:pPr>
      <w:r>
        <w:t xml:space="preserve">The </w:t>
      </w:r>
      <w:r w:rsidR="006103EA">
        <w:t xml:space="preserve">chair closed the meeting with a </w:t>
      </w:r>
      <w:r w:rsidR="00205D50">
        <w:t xml:space="preserve">clear </w:t>
      </w:r>
      <w:r w:rsidR="006103EA">
        <w:t>call to action</w:t>
      </w:r>
      <w:r>
        <w:t>, stressing the importance of working together</w:t>
      </w:r>
      <w:r w:rsidR="00205D50">
        <w:t>,</w:t>
      </w:r>
      <w:r>
        <w:t xml:space="preserve"> through this partnership</w:t>
      </w:r>
      <w:r w:rsidR="00205D50">
        <w:t>,</w:t>
      </w:r>
      <w:r>
        <w:t xml:space="preserve"> </w:t>
      </w:r>
      <w:r w:rsidR="00205D50">
        <w:t>to generate</w:t>
      </w:r>
      <w:r>
        <w:t xml:space="preserve"> </w:t>
      </w:r>
      <w:r w:rsidR="00205D50">
        <w:t xml:space="preserve">practical </w:t>
      </w:r>
      <w:r>
        <w:t xml:space="preserve">solutions </w:t>
      </w:r>
      <w:r w:rsidR="00205D50">
        <w:t>that will ensure water does not become a barrier to both growth Kenya’s economic growth and its social and environmental stability.</w:t>
      </w:r>
    </w:p>
    <w:p w:rsidR="00AE2293" w:rsidRDefault="00AE2293" w:rsidP="00C128C3">
      <w:pPr>
        <w:spacing w:after="0"/>
        <w:jc w:val="both"/>
      </w:pPr>
    </w:p>
    <w:p w:rsidR="00DB4A01" w:rsidRDefault="00DB4A01">
      <w:r>
        <w:br w:type="page"/>
      </w:r>
    </w:p>
    <w:p w:rsidR="00DB4A01" w:rsidRPr="00290725" w:rsidRDefault="00290725" w:rsidP="00C128C3">
      <w:pPr>
        <w:spacing w:after="0"/>
        <w:jc w:val="both"/>
        <w:rPr>
          <w:b/>
        </w:rPr>
      </w:pPr>
      <w:r w:rsidRPr="00290725">
        <w:rPr>
          <w:b/>
        </w:rPr>
        <w:lastRenderedPageBreak/>
        <w:t>Annex 1: Participant List</w:t>
      </w:r>
    </w:p>
    <w:p w:rsidR="00DB4A01" w:rsidRDefault="00DB4A01" w:rsidP="00C128C3">
      <w:pPr>
        <w:spacing w:after="0"/>
        <w:jc w:val="both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4770"/>
        <w:gridCol w:w="2340"/>
      </w:tblGrid>
      <w:tr w:rsidR="00DB4A01" w:rsidTr="00290725">
        <w:tc>
          <w:tcPr>
            <w:tcW w:w="2605" w:type="dxa"/>
          </w:tcPr>
          <w:p w:rsidR="00DB4A01" w:rsidRDefault="00DB4A01" w:rsidP="0029072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70" w:type="dxa"/>
          </w:tcPr>
          <w:p w:rsidR="00DB4A01" w:rsidRDefault="00DB4A01" w:rsidP="00290725">
            <w:pPr>
              <w:rPr>
                <w:b/>
              </w:rPr>
            </w:pPr>
            <w:r>
              <w:rPr>
                <w:b/>
              </w:rPr>
              <w:t xml:space="preserve">Title / Organization </w:t>
            </w:r>
          </w:p>
        </w:tc>
        <w:tc>
          <w:tcPr>
            <w:tcW w:w="2340" w:type="dxa"/>
          </w:tcPr>
          <w:p w:rsidR="00DB4A01" w:rsidRDefault="00DB4A01" w:rsidP="0029072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DB4A01" w:rsidTr="00290725">
        <w:tc>
          <w:tcPr>
            <w:tcW w:w="2605" w:type="dxa"/>
          </w:tcPr>
          <w:p w:rsidR="00DB4A01" w:rsidRPr="00DB4A01" w:rsidRDefault="00DB4A01" w:rsidP="00290725">
            <w:r w:rsidRPr="00DB4A01">
              <w:t>Mr. Vimal Shah</w:t>
            </w:r>
          </w:p>
        </w:tc>
        <w:tc>
          <w:tcPr>
            <w:tcW w:w="4770" w:type="dxa"/>
          </w:tcPr>
          <w:p w:rsidR="00DB4A01" w:rsidRPr="00DB4A01" w:rsidRDefault="00DB4A01" w:rsidP="00290725">
            <w:r w:rsidRPr="00DB4A01">
              <w:t xml:space="preserve">CEO, </w:t>
            </w:r>
            <w:proofErr w:type="spellStart"/>
            <w:r w:rsidRPr="00DB4A01">
              <w:t>Bidco</w:t>
            </w:r>
            <w:proofErr w:type="spellEnd"/>
          </w:p>
        </w:tc>
        <w:tc>
          <w:tcPr>
            <w:tcW w:w="2340" w:type="dxa"/>
          </w:tcPr>
          <w:p w:rsidR="00DB4A01" w:rsidRPr="00DB4A01" w:rsidRDefault="00DB4A01" w:rsidP="00290725">
            <w:r w:rsidRPr="00DB4A01">
              <w:t>Chair (Private Sector)</w:t>
            </w:r>
          </w:p>
        </w:tc>
      </w:tr>
      <w:tr w:rsidR="00DB4A01" w:rsidTr="00290725">
        <w:tc>
          <w:tcPr>
            <w:tcW w:w="2605" w:type="dxa"/>
          </w:tcPr>
          <w:p w:rsidR="00DB4A01" w:rsidRPr="00DB4A01" w:rsidRDefault="00DB4A01" w:rsidP="00290725">
            <w:r w:rsidRPr="00DB4A01">
              <w:t xml:space="preserve">Ms. </w:t>
            </w:r>
            <w:proofErr w:type="spellStart"/>
            <w:r w:rsidRPr="00DB4A01">
              <w:rPr>
                <w:rFonts w:cs="Arial"/>
              </w:rPr>
              <w:t>Annabell</w:t>
            </w:r>
            <w:proofErr w:type="spellEnd"/>
            <w:r w:rsidRPr="00DB4A01">
              <w:rPr>
                <w:rFonts w:cs="Arial"/>
              </w:rPr>
              <w:t xml:space="preserve"> </w:t>
            </w:r>
            <w:proofErr w:type="spellStart"/>
            <w:r w:rsidRPr="00DB4A01">
              <w:rPr>
                <w:rFonts w:cs="Arial"/>
              </w:rPr>
              <w:t>Waititu</w:t>
            </w:r>
            <w:proofErr w:type="spellEnd"/>
          </w:p>
        </w:tc>
        <w:tc>
          <w:tcPr>
            <w:tcW w:w="4770" w:type="dxa"/>
          </w:tcPr>
          <w:p w:rsidR="00DB4A01" w:rsidRPr="00DB4A01" w:rsidRDefault="00DB4A01" w:rsidP="00290725">
            <w:pPr>
              <w:rPr>
                <w:rFonts w:cs="Arial"/>
              </w:rPr>
            </w:pPr>
            <w:r w:rsidRPr="00DB4A01">
              <w:t xml:space="preserve">Chair, </w:t>
            </w:r>
            <w:r w:rsidRPr="00DB4A01">
              <w:rPr>
                <w:rFonts w:cs="Arial"/>
              </w:rPr>
              <w:t xml:space="preserve">Kenya Water and Sanitation CSOs Network (KEWASNET) </w:t>
            </w:r>
          </w:p>
        </w:tc>
        <w:tc>
          <w:tcPr>
            <w:tcW w:w="2340" w:type="dxa"/>
          </w:tcPr>
          <w:p w:rsidR="00DB4A01" w:rsidRPr="00DB4A01" w:rsidRDefault="00DB4A01" w:rsidP="00290725">
            <w:r w:rsidRPr="00DB4A01">
              <w:t>Board Member</w:t>
            </w:r>
          </w:p>
        </w:tc>
      </w:tr>
      <w:tr w:rsidR="00DB4A01" w:rsidTr="00290725">
        <w:tc>
          <w:tcPr>
            <w:tcW w:w="2605" w:type="dxa"/>
          </w:tcPr>
          <w:p w:rsidR="00DB4A01" w:rsidRPr="00DB4A01" w:rsidRDefault="00DB4A01" w:rsidP="00290725">
            <w:r w:rsidRPr="00DB4A01">
              <w:t xml:space="preserve">Ms. Phyllis </w:t>
            </w:r>
            <w:proofErr w:type="spellStart"/>
            <w:r w:rsidRPr="00DB4A01">
              <w:t>Wakiaga</w:t>
            </w:r>
            <w:proofErr w:type="spellEnd"/>
          </w:p>
        </w:tc>
        <w:tc>
          <w:tcPr>
            <w:tcW w:w="4770" w:type="dxa"/>
          </w:tcPr>
          <w:p w:rsidR="00DB4A01" w:rsidRPr="00DB4A01" w:rsidRDefault="00DB4A01" w:rsidP="00290725">
            <w:r w:rsidRPr="00DB4A01">
              <w:t>CEO, K</w:t>
            </w:r>
            <w:r w:rsidR="00290725">
              <w:t xml:space="preserve">enya </w:t>
            </w:r>
            <w:r w:rsidRPr="00DB4A01">
              <w:t>A</w:t>
            </w:r>
            <w:r w:rsidR="00290725">
              <w:t xml:space="preserve">ssociation of </w:t>
            </w:r>
            <w:r w:rsidRPr="00DB4A01">
              <w:t>M</w:t>
            </w:r>
            <w:r w:rsidR="00290725">
              <w:t>anufacturers</w:t>
            </w:r>
          </w:p>
        </w:tc>
        <w:tc>
          <w:tcPr>
            <w:tcW w:w="2340" w:type="dxa"/>
          </w:tcPr>
          <w:p w:rsidR="00DB4A01" w:rsidRPr="00DB4A01" w:rsidRDefault="00DB4A01" w:rsidP="00290725">
            <w:r w:rsidRPr="00DB4A01">
              <w:t>Board Member</w:t>
            </w:r>
          </w:p>
        </w:tc>
      </w:tr>
      <w:tr w:rsidR="00DB4A01" w:rsidTr="00290725">
        <w:tc>
          <w:tcPr>
            <w:tcW w:w="2605" w:type="dxa"/>
          </w:tcPr>
          <w:p w:rsidR="00DB4A01" w:rsidRPr="00DB4A01" w:rsidRDefault="00DB4A01" w:rsidP="00290725">
            <w:pPr>
              <w:rPr>
                <w:rFonts w:cs="Arial"/>
              </w:rPr>
            </w:pPr>
            <w:r w:rsidRPr="00DB4A01">
              <w:rPr>
                <w:rFonts w:cs="Arial"/>
              </w:rPr>
              <w:t xml:space="preserve">Eng. Joseph </w:t>
            </w:r>
            <w:proofErr w:type="spellStart"/>
            <w:r w:rsidRPr="00DB4A01">
              <w:rPr>
                <w:rFonts w:cs="Arial"/>
              </w:rPr>
              <w:t>Ngondi</w:t>
            </w:r>
            <w:proofErr w:type="spellEnd"/>
          </w:p>
        </w:tc>
        <w:tc>
          <w:tcPr>
            <w:tcW w:w="4770" w:type="dxa"/>
          </w:tcPr>
          <w:p w:rsidR="00DB4A01" w:rsidRPr="00DB4A01" w:rsidRDefault="00DB4A01" w:rsidP="00290725">
            <w:r w:rsidRPr="00DB4A01">
              <w:rPr>
                <w:rFonts w:cs="Arial"/>
              </w:rPr>
              <w:t>Chairman, Kenya Water Partnership</w:t>
            </w:r>
          </w:p>
        </w:tc>
        <w:tc>
          <w:tcPr>
            <w:tcW w:w="2340" w:type="dxa"/>
          </w:tcPr>
          <w:p w:rsidR="00DB4A01" w:rsidRPr="00DB4A01" w:rsidRDefault="00DB4A01" w:rsidP="00290725">
            <w:r w:rsidRPr="00DB4A01">
              <w:t>Board Member</w:t>
            </w:r>
          </w:p>
        </w:tc>
      </w:tr>
      <w:tr w:rsidR="00DB4A01" w:rsidTr="00290725">
        <w:tc>
          <w:tcPr>
            <w:tcW w:w="2605" w:type="dxa"/>
          </w:tcPr>
          <w:p w:rsidR="00DB4A01" w:rsidRPr="00DB4A01" w:rsidRDefault="00DB4A01" w:rsidP="00290725">
            <w:r w:rsidRPr="00DB4A01">
              <w:t>Mr. Richard Fox</w:t>
            </w:r>
          </w:p>
        </w:tc>
        <w:tc>
          <w:tcPr>
            <w:tcW w:w="4770" w:type="dxa"/>
          </w:tcPr>
          <w:p w:rsidR="00DB4A01" w:rsidRPr="00DB4A01" w:rsidRDefault="00DB4A01" w:rsidP="00290725">
            <w:r>
              <w:t xml:space="preserve">Sustainability Director, </w:t>
            </w:r>
            <w:proofErr w:type="spellStart"/>
            <w:r>
              <w:t>Finlays</w:t>
            </w:r>
            <w:proofErr w:type="spellEnd"/>
          </w:p>
        </w:tc>
        <w:tc>
          <w:tcPr>
            <w:tcW w:w="2340" w:type="dxa"/>
          </w:tcPr>
          <w:p w:rsidR="00DB4A01" w:rsidRPr="00DB4A01" w:rsidRDefault="00DB4A01" w:rsidP="00290725">
            <w:r w:rsidRPr="00DB4A01">
              <w:t>Board Member</w:t>
            </w:r>
          </w:p>
        </w:tc>
      </w:tr>
      <w:tr w:rsidR="00DB4A01" w:rsidTr="00290725">
        <w:tc>
          <w:tcPr>
            <w:tcW w:w="2605" w:type="dxa"/>
          </w:tcPr>
          <w:p w:rsidR="00DB4A01" w:rsidRPr="00DB4A01" w:rsidRDefault="00DB4A01" w:rsidP="00290725">
            <w:r>
              <w:t>Ms. Munira Bashir</w:t>
            </w:r>
          </w:p>
        </w:tc>
        <w:tc>
          <w:tcPr>
            <w:tcW w:w="4770" w:type="dxa"/>
          </w:tcPr>
          <w:p w:rsidR="00DB4A01" w:rsidRPr="00DB4A01" w:rsidRDefault="00DB4A01" w:rsidP="00290725">
            <w:r>
              <w:t>Director, The Nature Conservancy</w:t>
            </w:r>
          </w:p>
        </w:tc>
        <w:tc>
          <w:tcPr>
            <w:tcW w:w="2340" w:type="dxa"/>
          </w:tcPr>
          <w:p w:rsidR="00DB4A01" w:rsidRPr="00DB4A01" w:rsidRDefault="00DB4A01" w:rsidP="00290725">
            <w:r w:rsidRPr="00DB4A01">
              <w:t>Board Member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 w:rsidRPr="00DB4A01">
              <w:t>Mr. Suresh Patel</w:t>
            </w:r>
          </w:p>
        </w:tc>
        <w:tc>
          <w:tcPr>
            <w:tcW w:w="4770" w:type="dxa"/>
          </w:tcPr>
          <w:p w:rsidR="00290725" w:rsidRPr="00DB4A01" w:rsidRDefault="00290725" w:rsidP="00290725">
            <w:r w:rsidRPr="00DB4A01">
              <w:t>Chair of Water and Environment Committee, KEPSA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Board Member (Proxy)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 xml:space="preserve">Eng. </w:t>
            </w:r>
            <w:proofErr w:type="spellStart"/>
            <w:r>
              <w:t>Kinyua</w:t>
            </w:r>
            <w:proofErr w:type="spellEnd"/>
          </w:p>
        </w:tc>
        <w:tc>
          <w:tcPr>
            <w:tcW w:w="4770" w:type="dxa"/>
          </w:tcPr>
          <w:p w:rsidR="00290725" w:rsidRPr="00DB4A01" w:rsidRDefault="00290725" w:rsidP="00290725">
            <w:r>
              <w:t>Water Resources Management Authority</w:t>
            </w:r>
          </w:p>
        </w:tc>
        <w:tc>
          <w:tcPr>
            <w:tcW w:w="2340" w:type="dxa"/>
          </w:tcPr>
          <w:p w:rsidR="00290725" w:rsidRPr="00DB4A01" w:rsidRDefault="00290725" w:rsidP="00290725">
            <w:r w:rsidRPr="00DB4A01">
              <w:t>Board Member</w:t>
            </w:r>
            <w:r>
              <w:t xml:space="preserve"> (Proxy)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>Mr. Kimanthi Kyengo</w:t>
            </w:r>
          </w:p>
        </w:tc>
        <w:tc>
          <w:tcPr>
            <w:tcW w:w="4770" w:type="dxa"/>
          </w:tcPr>
          <w:p w:rsidR="00290725" w:rsidRPr="00DB4A01" w:rsidRDefault="00290725" w:rsidP="00290725">
            <w:r>
              <w:t xml:space="preserve">Deputy Director, Ministry of Water and Irrigation 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Secretary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>Ms. Sareen Malik</w:t>
            </w:r>
          </w:p>
        </w:tc>
        <w:tc>
          <w:tcPr>
            <w:tcW w:w="4770" w:type="dxa"/>
          </w:tcPr>
          <w:p w:rsidR="00290725" w:rsidRPr="00DB4A01" w:rsidRDefault="00290725" w:rsidP="00290725">
            <w:r>
              <w:t>KEWASNET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?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>Mr. Samson</w:t>
            </w:r>
          </w:p>
        </w:tc>
        <w:tc>
          <w:tcPr>
            <w:tcW w:w="4770" w:type="dxa"/>
          </w:tcPr>
          <w:p w:rsidR="00290725" w:rsidRPr="00DB4A01" w:rsidRDefault="00290725" w:rsidP="00290725">
            <w:r>
              <w:t>KEWASNET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?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>Ms. Aida Kimemia</w:t>
            </w:r>
          </w:p>
        </w:tc>
        <w:tc>
          <w:tcPr>
            <w:tcW w:w="4770" w:type="dxa"/>
          </w:tcPr>
          <w:p w:rsidR="00290725" w:rsidRPr="00DB4A01" w:rsidRDefault="00290725" w:rsidP="00290725">
            <w:r>
              <w:t>Manager, IFC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Observer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 xml:space="preserve">Mr. Chris </w:t>
            </w:r>
            <w:proofErr w:type="spellStart"/>
            <w:r>
              <w:t>Heymaans</w:t>
            </w:r>
            <w:proofErr w:type="spellEnd"/>
          </w:p>
        </w:tc>
        <w:tc>
          <w:tcPr>
            <w:tcW w:w="4770" w:type="dxa"/>
          </w:tcPr>
          <w:p w:rsidR="00290725" w:rsidRPr="00DB4A01" w:rsidRDefault="00290725" w:rsidP="00290725">
            <w:r>
              <w:t>Chair, Water Sector Technical Group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Observer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>Mr. Anders Berntell</w:t>
            </w:r>
          </w:p>
        </w:tc>
        <w:tc>
          <w:tcPr>
            <w:tcW w:w="4770" w:type="dxa"/>
          </w:tcPr>
          <w:p w:rsidR="00290725" w:rsidRPr="00DB4A01" w:rsidRDefault="00290725" w:rsidP="00290725">
            <w:r>
              <w:t>Director, 2030 Water Resources Group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Facilitator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>Mr. Simon Bell</w:t>
            </w:r>
          </w:p>
        </w:tc>
        <w:tc>
          <w:tcPr>
            <w:tcW w:w="4770" w:type="dxa"/>
          </w:tcPr>
          <w:p w:rsidR="00290725" w:rsidRPr="00DB4A01" w:rsidRDefault="00290725" w:rsidP="00290725">
            <w:r>
              <w:t>Senior Consultant, 2030 WRG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Facilitator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>Mr. Will Davies</w:t>
            </w:r>
          </w:p>
        </w:tc>
        <w:tc>
          <w:tcPr>
            <w:tcW w:w="4770" w:type="dxa"/>
          </w:tcPr>
          <w:p w:rsidR="00290725" w:rsidRPr="00DB4A01" w:rsidRDefault="00290725" w:rsidP="00290725">
            <w:r>
              <w:t>Africa Head, 2030 WRG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Secretariat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>
            <w:r>
              <w:t>Ms. Josephine Gustafsson</w:t>
            </w:r>
          </w:p>
        </w:tc>
        <w:tc>
          <w:tcPr>
            <w:tcW w:w="4770" w:type="dxa"/>
          </w:tcPr>
          <w:p w:rsidR="00290725" w:rsidRPr="00DB4A01" w:rsidRDefault="00290725" w:rsidP="00290725">
            <w:r>
              <w:t>Regional Coordination, 2030 WRG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Secretariat</w:t>
            </w:r>
          </w:p>
        </w:tc>
      </w:tr>
      <w:tr w:rsidR="00290725" w:rsidTr="00290725">
        <w:tc>
          <w:tcPr>
            <w:tcW w:w="2605" w:type="dxa"/>
          </w:tcPr>
          <w:p w:rsidR="00290725" w:rsidRPr="00DB4A01" w:rsidRDefault="00290725" w:rsidP="00290725"/>
        </w:tc>
        <w:tc>
          <w:tcPr>
            <w:tcW w:w="4770" w:type="dxa"/>
          </w:tcPr>
          <w:p w:rsidR="00290725" w:rsidRDefault="00290725" w:rsidP="00290725"/>
        </w:tc>
        <w:tc>
          <w:tcPr>
            <w:tcW w:w="2340" w:type="dxa"/>
          </w:tcPr>
          <w:p w:rsidR="00290725" w:rsidRPr="00DB4A01" w:rsidRDefault="00290725" w:rsidP="00290725"/>
        </w:tc>
      </w:tr>
      <w:tr w:rsidR="00290725" w:rsidTr="00290725">
        <w:tc>
          <w:tcPr>
            <w:tcW w:w="2605" w:type="dxa"/>
          </w:tcPr>
          <w:p w:rsidR="00290725" w:rsidRPr="00290725" w:rsidRDefault="00290725" w:rsidP="00290725">
            <w:pPr>
              <w:rPr>
                <w:b/>
              </w:rPr>
            </w:pPr>
            <w:r>
              <w:rPr>
                <w:b/>
              </w:rPr>
              <w:t>Absent with apologies:</w:t>
            </w:r>
          </w:p>
        </w:tc>
        <w:tc>
          <w:tcPr>
            <w:tcW w:w="4770" w:type="dxa"/>
          </w:tcPr>
          <w:p w:rsidR="00290725" w:rsidRPr="00DB4A01" w:rsidRDefault="00290725" w:rsidP="00290725"/>
        </w:tc>
        <w:tc>
          <w:tcPr>
            <w:tcW w:w="2340" w:type="dxa"/>
          </w:tcPr>
          <w:p w:rsidR="00290725" w:rsidRPr="00DB4A01" w:rsidRDefault="00290725" w:rsidP="00290725"/>
        </w:tc>
      </w:tr>
      <w:tr w:rsidR="00290725" w:rsidTr="00290725">
        <w:tc>
          <w:tcPr>
            <w:tcW w:w="2605" w:type="dxa"/>
          </w:tcPr>
          <w:p w:rsidR="00290725" w:rsidRDefault="00290725" w:rsidP="00290725">
            <w:pPr>
              <w:rPr>
                <w:b/>
              </w:rPr>
            </w:pPr>
            <w:r>
              <w:t>Hon.</w:t>
            </w:r>
            <w:r w:rsidRPr="002B0E2F">
              <w:t xml:space="preserve"> Eugene </w:t>
            </w:r>
            <w:proofErr w:type="spellStart"/>
            <w:r w:rsidRPr="002B0E2F">
              <w:t>Wamalwa</w:t>
            </w:r>
            <w:proofErr w:type="spellEnd"/>
          </w:p>
        </w:tc>
        <w:tc>
          <w:tcPr>
            <w:tcW w:w="4770" w:type="dxa"/>
          </w:tcPr>
          <w:p w:rsidR="00290725" w:rsidRPr="00DB4A01" w:rsidRDefault="00290725" w:rsidP="00290725">
            <w:r>
              <w:t>Cabinet Secretary, Ministry of Water and Irrigation</w:t>
            </w:r>
          </w:p>
        </w:tc>
        <w:tc>
          <w:tcPr>
            <w:tcW w:w="2340" w:type="dxa"/>
          </w:tcPr>
          <w:p w:rsidR="00290725" w:rsidRPr="00DB4A01" w:rsidRDefault="00290725" w:rsidP="00290725">
            <w:r>
              <w:t>Chair (Public Sector)</w:t>
            </w:r>
          </w:p>
        </w:tc>
      </w:tr>
      <w:tr w:rsidR="00290725" w:rsidTr="00290725">
        <w:tc>
          <w:tcPr>
            <w:tcW w:w="2605" w:type="dxa"/>
          </w:tcPr>
          <w:p w:rsidR="00290725" w:rsidRPr="00290725" w:rsidRDefault="00290725" w:rsidP="00290725">
            <w:r w:rsidRPr="00290725">
              <w:t xml:space="preserve">Mr. </w:t>
            </w:r>
            <w:r w:rsidRPr="00290725">
              <w:rPr>
                <w:rFonts w:cs="Arial"/>
              </w:rPr>
              <w:t xml:space="preserve">Cornel </w:t>
            </w:r>
            <w:proofErr w:type="spellStart"/>
            <w:r w:rsidRPr="00290725">
              <w:t>Krummenacher</w:t>
            </w:r>
            <w:proofErr w:type="spellEnd"/>
          </w:p>
        </w:tc>
        <w:tc>
          <w:tcPr>
            <w:tcW w:w="4770" w:type="dxa"/>
          </w:tcPr>
          <w:p w:rsidR="00290725" w:rsidRPr="00290725" w:rsidRDefault="00290725" w:rsidP="00290725">
            <w:r w:rsidRPr="00290725">
              <w:t xml:space="preserve">CEO, </w:t>
            </w:r>
            <w:r w:rsidRPr="00290725">
              <w:rPr>
                <w:rFonts w:cs="Arial"/>
              </w:rPr>
              <w:t>Nestle – Equatorial Africa</w:t>
            </w:r>
          </w:p>
        </w:tc>
        <w:tc>
          <w:tcPr>
            <w:tcW w:w="2340" w:type="dxa"/>
          </w:tcPr>
          <w:p w:rsidR="00290725" w:rsidRPr="00290725" w:rsidRDefault="00290725" w:rsidP="00290725">
            <w:r w:rsidRPr="00290725">
              <w:t>Board Member</w:t>
            </w:r>
          </w:p>
        </w:tc>
      </w:tr>
    </w:tbl>
    <w:p w:rsidR="00AE2293" w:rsidRDefault="00AE2293" w:rsidP="00C128C3">
      <w:pPr>
        <w:spacing w:after="0"/>
        <w:jc w:val="both"/>
        <w:rPr>
          <w:b/>
        </w:rPr>
      </w:pPr>
    </w:p>
    <w:p w:rsidR="00290725" w:rsidRDefault="00290725" w:rsidP="00C128C3">
      <w:pPr>
        <w:spacing w:after="0"/>
        <w:jc w:val="both"/>
        <w:rPr>
          <w:b/>
        </w:rPr>
      </w:pPr>
    </w:p>
    <w:p w:rsidR="000E38B6" w:rsidRDefault="000E38B6" w:rsidP="00C128C3">
      <w:pPr>
        <w:spacing w:after="0"/>
        <w:jc w:val="both"/>
        <w:rPr>
          <w:b/>
        </w:rPr>
      </w:pPr>
    </w:p>
    <w:p w:rsidR="005125DA" w:rsidRPr="005125DA" w:rsidRDefault="005125DA" w:rsidP="000576F7">
      <w:pPr>
        <w:spacing w:after="0"/>
        <w:jc w:val="both"/>
      </w:pPr>
    </w:p>
    <w:p w:rsidR="000576F7" w:rsidRPr="000576F7" w:rsidRDefault="000576F7" w:rsidP="000576F7">
      <w:pPr>
        <w:spacing w:after="0"/>
        <w:jc w:val="both"/>
        <w:rPr>
          <w:b/>
        </w:rPr>
      </w:pPr>
    </w:p>
    <w:sectPr w:rsidR="000576F7" w:rsidRPr="000576F7" w:rsidSect="00290725">
      <w:pgSz w:w="12240" w:h="15840"/>
      <w:pgMar w:top="144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FA5"/>
    <w:multiLevelType w:val="hybridMultilevel"/>
    <w:tmpl w:val="60260A86"/>
    <w:lvl w:ilvl="0" w:tplc="FE46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8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00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C3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81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C7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2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CC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6E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254D8"/>
    <w:multiLevelType w:val="hybridMultilevel"/>
    <w:tmpl w:val="E2F6B7DC"/>
    <w:lvl w:ilvl="0" w:tplc="91481A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282A"/>
    <w:multiLevelType w:val="hybridMultilevel"/>
    <w:tmpl w:val="F7007A1C"/>
    <w:lvl w:ilvl="0" w:tplc="0E3ED5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01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AA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21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42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23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0E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3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86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F6E6F"/>
    <w:multiLevelType w:val="hybridMultilevel"/>
    <w:tmpl w:val="CF98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EF"/>
    <w:rsid w:val="000576F7"/>
    <w:rsid w:val="000E38B6"/>
    <w:rsid w:val="00205D50"/>
    <w:rsid w:val="0024330C"/>
    <w:rsid w:val="00290725"/>
    <w:rsid w:val="003121A4"/>
    <w:rsid w:val="003A180D"/>
    <w:rsid w:val="005125DA"/>
    <w:rsid w:val="005276C5"/>
    <w:rsid w:val="006103EA"/>
    <w:rsid w:val="006D2E69"/>
    <w:rsid w:val="006F471D"/>
    <w:rsid w:val="00891F58"/>
    <w:rsid w:val="008E6EF1"/>
    <w:rsid w:val="00A66A08"/>
    <w:rsid w:val="00AE2293"/>
    <w:rsid w:val="00BF65EF"/>
    <w:rsid w:val="00C128C3"/>
    <w:rsid w:val="00C37181"/>
    <w:rsid w:val="00D01C8D"/>
    <w:rsid w:val="00DB4A01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BE55-DE35-4592-BF30-487F6D6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DA"/>
    <w:pPr>
      <w:ind w:left="720"/>
      <w:contextualSpacing/>
    </w:pPr>
  </w:style>
  <w:style w:type="table" w:styleId="TableGrid">
    <w:name w:val="Table Grid"/>
    <w:basedOn w:val="TableNormal"/>
    <w:uiPriority w:val="59"/>
    <w:rsid w:val="00DB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2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9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9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Llewelyn Davies</dc:creator>
  <cp:keywords/>
  <dc:description/>
  <cp:lastModifiedBy>Josephine Gustafsson</cp:lastModifiedBy>
  <cp:revision>2</cp:revision>
  <dcterms:created xsi:type="dcterms:W3CDTF">2016-03-15T16:06:00Z</dcterms:created>
  <dcterms:modified xsi:type="dcterms:W3CDTF">2016-03-15T16:06:00Z</dcterms:modified>
</cp:coreProperties>
</file>